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9F3B32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18</w:t>
      </w:r>
    </w:p>
    <w:p w:rsidR="00E22990" w:rsidRDefault="009F3B32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07.06</w:t>
      </w:r>
      <w:r w:rsidR="00825F10">
        <w:rPr>
          <w:b/>
          <w:sz w:val="44"/>
          <w:szCs w:val="44"/>
        </w:rPr>
        <w:t>.2023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9F3B32">
        <w:rPr>
          <w:b/>
          <w:sz w:val="32"/>
          <w:szCs w:val="32"/>
        </w:rPr>
        <w:t xml:space="preserve">                   № 18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9F3B32">
        <w:rPr>
          <w:b/>
          <w:sz w:val="32"/>
          <w:szCs w:val="32"/>
        </w:rPr>
        <w:t>07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9F3B32">
        <w:rPr>
          <w:b/>
          <w:sz w:val="32"/>
          <w:szCs w:val="32"/>
        </w:rPr>
        <w:t>6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825F10">
        <w:rPr>
          <w:b/>
          <w:sz w:val="32"/>
          <w:szCs w:val="32"/>
        </w:rPr>
        <w:t>3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9F3B32" w:rsidRPr="009479AC" w:rsidRDefault="009F3B32" w:rsidP="009F3B32">
      <w:pPr>
        <w:jc w:val="both"/>
        <w:rPr>
          <w:b/>
          <w:sz w:val="28"/>
        </w:rPr>
      </w:pPr>
      <w:bookmarkStart w:id="0" w:name="_GoBack"/>
      <w:bookmarkEnd w:id="0"/>
      <w:r w:rsidRPr="009479AC">
        <w:rPr>
          <w:b/>
          <w:sz w:val="28"/>
        </w:rPr>
        <w:t xml:space="preserve">Прокурор разъясняет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jc w:val="both"/>
        <w:rPr>
          <w:b/>
          <w:sz w:val="28"/>
        </w:rPr>
      </w:pPr>
      <w:r w:rsidRPr="009479AC">
        <w:rPr>
          <w:b/>
          <w:sz w:val="28"/>
        </w:rPr>
        <w:t>Об участии граждан в отправлении правосудия.</w:t>
      </w:r>
    </w:p>
    <w:p w:rsidR="009F3B32" w:rsidRPr="009479AC" w:rsidRDefault="009F3B32" w:rsidP="009F3B32">
      <w:pPr>
        <w:jc w:val="both"/>
        <w:rPr>
          <w:b/>
          <w:sz w:val="28"/>
        </w:rPr>
      </w:pPr>
    </w:p>
    <w:p w:rsidR="009F3B32" w:rsidRPr="009479AC" w:rsidRDefault="009F3B32" w:rsidP="009F3B32">
      <w:pPr>
        <w:numPr>
          <w:ilvl w:val="0"/>
          <w:numId w:val="28"/>
        </w:numPr>
        <w:suppressAutoHyphens w:val="0"/>
        <w:jc w:val="both"/>
        <w:rPr>
          <w:sz w:val="28"/>
        </w:rPr>
      </w:pPr>
      <w:r w:rsidRPr="009479AC">
        <w:rPr>
          <w:b/>
          <w:sz w:val="28"/>
        </w:rPr>
        <w:t>Что такое суд присяжных?</w:t>
      </w:r>
      <w:r w:rsidRPr="009479AC">
        <w:rPr>
          <w:sz w:val="28"/>
        </w:rPr>
        <w:t xml:space="preserve">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</w:t>
      </w:r>
      <w:proofErr w:type="gramStart"/>
      <w:r w:rsidRPr="009479AC">
        <w:rPr>
          <w:sz w:val="28"/>
        </w:rPr>
        <w:t>краевом</w:t>
      </w:r>
      <w:proofErr w:type="gramEnd"/>
      <w:r w:rsidRPr="009479AC">
        <w:rPr>
          <w:sz w:val="28"/>
        </w:rPr>
        <w:t xml:space="preserve"> — присяжных восемь, на районном — шесть. 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</w:r>
      <w:r w:rsidRPr="009479AC">
        <w:rPr>
          <w:b/>
          <w:sz w:val="28"/>
        </w:rPr>
        <w:t>2. Какие требования предъявляются к присяжным и как их отбирают?</w:t>
      </w:r>
      <w:r w:rsidRPr="009479AC">
        <w:rPr>
          <w:sz w:val="28"/>
        </w:rPr>
        <w:t xml:space="preserve">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Требования к присяжным установлены законом «О присяжных заседателях федеральных судов общей юрисдикции в Российской Федерации».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>Так, присяжными не могут быть граждане: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 xml:space="preserve">-младше 25 лет;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>-</w:t>
      </w:r>
      <w:proofErr w:type="gramStart"/>
      <w:r w:rsidRPr="009479AC">
        <w:rPr>
          <w:sz w:val="28"/>
        </w:rPr>
        <w:t>имеющие</w:t>
      </w:r>
      <w:proofErr w:type="gramEnd"/>
      <w:r w:rsidRPr="009479AC">
        <w:rPr>
          <w:sz w:val="28"/>
        </w:rPr>
        <w:t xml:space="preserve"> непогашенную или неснятую судимость;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 xml:space="preserve">-недееспособные;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>-</w:t>
      </w:r>
      <w:proofErr w:type="gramStart"/>
      <w:r w:rsidRPr="009479AC">
        <w:rPr>
          <w:sz w:val="28"/>
        </w:rPr>
        <w:t>состоящие</w:t>
      </w:r>
      <w:proofErr w:type="gramEnd"/>
      <w:r w:rsidRPr="009479AC">
        <w:rPr>
          <w:sz w:val="28"/>
        </w:rPr>
        <w:t xml:space="preserve"> на учёте в наркологическом или психоневрологическом диспансере.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</w:t>
      </w:r>
      <w:r w:rsidRPr="009479AC">
        <w:rPr>
          <w:sz w:val="28"/>
        </w:rPr>
        <w:lastRenderedPageBreak/>
        <w:t xml:space="preserve">избранным в муниципальные органы власти, а также высшим категориям госслужащих.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numPr>
          <w:ilvl w:val="0"/>
          <w:numId w:val="29"/>
        </w:numPr>
        <w:suppressAutoHyphens w:val="0"/>
        <w:jc w:val="both"/>
        <w:rPr>
          <w:b/>
          <w:sz w:val="28"/>
        </w:rPr>
      </w:pPr>
      <w:r w:rsidRPr="009479AC">
        <w:rPr>
          <w:b/>
          <w:sz w:val="28"/>
        </w:rPr>
        <w:t xml:space="preserve">Как стать присяжным заседателем?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Каждого кандидата судья инструктирует, произносит вступительное слово: зачем его вызвали, для какого дела, какие задачи перед ним </w:t>
      </w:r>
      <w:proofErr w:type="gramStart"/>
      <w:r w:rsidRPr="009479AC">
        <w:rPr>
          <w:sz w:val="28"/>
        </w:rPr>
        <w:t>стоят</w:t>
      </w:r>
      <w:proofErr w:type="gramEnd"/>
      <w:r w:rsidRPr="009479AC">
        <w:rPr>
          <w:sz w:val="28"/>
        </w:rPr>
        <w:t xml:space="preserve"> и сколько примерно продлится разбирательство. Присяжным не выдают специальных удостоверений. Если нужно подтвердить свой статус, судья выда</w:t>
      </w:r>
      <w:proofErr w:type="gramStart"/>
      <w:r w:rsidRPr="009479AC">
        <w:rPr>
          <w:sz w:val="28"/>
        </w:rPr>
        <w:t>ст спр</w:t>
      </w:r>
      <w:proofErr w:type="gramEnd"/>
      <w:r w:rsidRPr="009479AC">
        <w:rPr>
          <w:sz w:val="28"/>
        </w:rPr>
        <w:t xml:space="preserve">авку.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numPr>
          <w:ilvl w:val="0"/>
          <w:numId w:val="29"/>
        </w:numPr>
        <w:suppressAutoHyphens w:val="0"/>
        <w:jc w:val="both"/>
        <w:rPr>
          <w:b/>
          <w:sz w:val="28"/>
        </w:rPr>
      </w:pPr>
      <w:r w:rsidRPr="009479AC">
        <w:rPr>
          <w:b/>
          <w:sz w:val="28"/>
        </w:rPr>
        <w:t>Обязан ли кандидат в присяжные явиться по приглашению?</w:t>
      </w:r>
      <w:r w:rsidRPr="009479AC">
        <w:rPr>
          <w:sz w:val="28"/>
        </w:rPr>
        <w:t xml:space="preserve"> </w:t>
      </w:r>
      <w:r w:rsidRPr="009479AC">
        <w:rPr>
          <w:b/>
          <w:sz w:val="28"/>
        </w:rPr>
        <w:t xml:space="preserve">Предусмотрены ли санкции за неявку?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b/>
          <w:sz w:val="28"/>
        </w:rPr>
        <w:tab/>
      </w:r>
      <w:r w:rsidRPr="009479AC">
        <w:rPr>
          <w:sz w:val="28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numPr>
          <w:ilvl w:val="0"/>
          <w:numId w:val="29"/>
        </w:numPr>
        <w:suppressAutoHyphens w:val="0"/>
        <w:jc w:val="both"/>
        <w:rPr>
          <w:b/>
          <w:sz w:val="28"/>
        </w:rPr>
      </w:pPr>
      <w:r w:rsidRPr="009479AC">
        <w:rPr>
          <w:b/>
          <w:sz w:val="28"/>
        </w:rPr>
        <w:t xml:space="preserve">Сколько может длиться судебное разбирательство?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lastRenderedPageBreak/>
        <w:tab/>
        <w:t xml:space="preserve">Уголовный процесс состоит не из одного заседания </w:t>
      </w:r>
      <w:proofErr w:type="gramStart"/>
      <w:r w:rsidRPr="009479AC">
        <w:rPr>
          <w:sz w:val="28"/>
        </w:rPr>
        <w:t>и</w:t>
      </w:r>
      <w:proofErr w:type="gramEnd"/>
      <w:r w:rsidRPr="009479AC">
        <w:rPr>
          <w:sz w:val="28"/>
        </w:rPr>
        <w:t xml:space="preserve">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 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numPr>
          <w:ilvl w:val="0"/>
          <w:numId w:val="29"/>
        </w:numPr>
        <w:suppressAutoHyphens w:val="0"/>
        <w:jc w:val="both"/>
        <w:rPr>
          <w:b/>
          <w:sz w:val="28"/>
        </w:rPr>
      </w:pPr>
      <w:r w:rsidRPr="009479AC">
        <w:rPr>
          <w:b/>
          <w:sz w:val="28"/>
        </w:rPr>
        <w:t xml:space="preserve">Оплачивается ли потраченное время?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>Участие оплачивается в размере одной второй части должностного оклада судьи суда, в котором проходит рассмотрение дела, но не менее</w:t>
      </w:r>
      <w:proofErr w:type="gramStart"/>
      <w:r w:rsidRPr="009479AC">
        <w:rPr>
          <w:sz w:val="28"/>
        </w:rPr>
        <w:t>,</w:t>
      </w:r>
      <w:proofErr w:type="gramEnd"/>
      <w:r w:rsidRPr="009479AC">
        <w:rPr>
          <w:sz w:val="28"/>
        </w:rPr>
        <w:t xml:space="preserve"> чем средний доход участника по основному месту работы. Также оплачивается проезд до места проведения суда.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 Также участие в судебном процессе учитывается, как трудовой стаж.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numPr>
          <w:ilvl w:val="0"/>
          <w:numId w:val="29"/>
        </w:numPr>
        <w:suppressAutoHyphens w:val="0"/>
        <w:jc w:val="both"/>
        <w:rPr>
          <w:b/>
          <w:sz w:val="28"/>
        </w:rPr>
      </w:pPr>
      <w:r w:rsidRPr="009479AC">
        <w:rPr>
          <w:b/>
          <w:sz w:val="28"/>
        </w:rPr>
        <w:t xml:space="preserve">Предусмотрены ли меры защиты в случае угрозы от подсудимых для присяжных заседателей?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Закон предусматривает гарантии для присяжного заседателя.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9F3B32" w:rsidRPr="009479AC" w:rsidRDefault="009F3B32" w:rsidP="009F3B32">
      <w:pPr>
        <w:numPr>
          <w:ilvl w:val="0"/>
          <w:numId w:val="29"/>
        </w:numPr>
        <w:suppressAutoHyphens w:val="0"/>
        <w:jc w:val="both"/>
        <w:rPr>
          <w:sz w:val="28"/>
        </w:rPr>
      </w:pPr>
      <w:r w:rsidRPr="009479AC">
        <w:rPr>
          <w:sz w:val="28"/>
        </w:rPr>
        <w:t xml:space="preserve">Что должны сделать присяжные на суде? 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 1) доказано ли, что деяние имело место; 2) доказано ли, что это деяние совершил подсудимый; 3) виновен </w:t>
      </w:r>
      <w:r w:rsidRPr="009479AC">
        <w:rPr>
          <w:sz w:val="28"/>
        </w:rPr>
        <w:lastRenderedPageBreak/>
        <w:t xml:space="preserve">ли подсудимый в совершении этого деяния. 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9479AC" w:rsidRDefault="009F3B32" w:rsidP="009F3B32">
      <w:pPr>
        <w:numPr>
          <w:ilvl w:val="0"/>
          <w:numId w:val="29"/>
        </w:numPr>
        <w:suppressAutoHyphens w:val="0"/>
        <w:jc w:val="both"/>
        <w:rPr>
          <w:b/>
          <w:sz w:val="28"/>
        </w:rPr>
      </w:pPr>
      <w:r w:rsidRPr="009479AC">
        <w:rPr>
          <w:b/>
          <w:sz w:val="28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:rsidR="009F3B32" w:rsidRPr="009479AC" w:rsidRDefault="009F3B32" w:rsidP="009F3B32">
      <w:pPr>
        <w:jc w:val="both"/>
        <w:rPr>
          <w:sz w:val="28"/>
        </w:rPr>
      </w:pPr>
      <w:r w:rsidRPr="009479AC">
        <w:rPr>
          <w:sz w:val="28"/>
        </w:rPr>
        <w:tab/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</w:t>
      </w:r>
      <w:proofErr w:type="gramStart"/>
      <w:r w:rsidRPr="009479AC">
        <w:rPr>
          <w:sz w:val="28"/>
        </w:rPr>
        <w:t>прав</w:t>
      </w:r>
      <w:proofErr w:type="gramEnd"/>
      <w:r w:rsidRPr="009479AC">
        <w:rPr>
          <w:sz w:val="28"/>
        </w:rPr>
        <w:t xml:space="preserve">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 </w:t>
      </w:r>
    </w:p>
    <w:p w:rsidR="009F3B32" w:rsidRPr="009479AC" w:rsidRDefault="009F3B32" w:rsidP="009F3B32">
      <w:pPr>
        <w:jc w:val="both"/>
        <w:rPr>
          <w:sz w:val="28"/>
        </w:rPr>
      </w:pPr>
    </w:p>
    <w:p w:rsidR="009F3B32" w:rsidRPr="00F31CF3" w:rsidRDefault="009F3B32" w:rsidP="009F3B32">
      <w:pPr>
        <w:jc w:val="both"/>
        <w:rPr>
          <w:sz w:val="28"/>
          <w:szCs w:val="28"/>
        </w:rPr>
      </w:pP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Панафидин</w:t>
      </w: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9F3B32" w:rsidRDefault="009F3B32" w:rsidP="009F3B32">
      <w:pPr>
        <w:jc w:val="both"/>
        <w:rPr>
          <w:sz w:val="28"/>
          <w:szCs w:val="28"/>
        </w:rPr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9F3B32">
        <w:t xml:space="preserve">    07</w:t>
      </w:r>
      <w:r w:rsidR="002C77BE">
        <w:t xml:space="preserve"> </w:t>
      </w:r>
      <w:r w:rsidR="009F3B32">
        <w:t>июня</w:t>
      </w:r>
      <w:r w:rsidR="00825F10">
        <w:t xml:space="preserve">  2023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9"/>
  </w:num>
  <w:num w:numId="5">
    <w:abstractNumId w:val="18"/>
  </w:num>
  <w:num w:numId="6">
    <w:abstractNumId w:val="26"/>
  </w:num>
  <w:num w:numId="7">
    <w:abstractNumId w:val="8"/>
  </w:num>
  <w:num w:numId="8">
    <w:abstractNumId w:val="23"/>
  </w:num>
  <w:num w:numId="9">
    <w:abstractNumId w:val="5"/>
  </w:num>
  <w:num w:numId="10">
    <w:abstractNumId w:val="1"/>
  </w:num>
  <w:num w:numId="11">
    <w:abstractNumId w:val="24"/>
  </w:num>
  <w:num w:numId="12">
    <w:abstractNumId w:val="22"/>
  </w:num>
  <w:num w:numId="13">
    <w:abstractNumId w:val="7"/>
  </w:num>
  <w:num w:numId="14">
    <w:abstractNumId w:val="4"/>
  </w:num>
  <w:num w:numId="15">
    <w:abstractNumId w:val="1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6"/>
  </w:num>
  <w:num w:numId="20">
    <w:abstractNumId w:val="16"/>
  </w:num>
  <w:num w:numId="21">
    <w:abstractNumId w:val="12"/>
  </w:num>
  <w:num w:numId="22">
    <w:abstractNumId w:val="25"/>
  </w:num>
  <w:num w:numId="23">
    <w:abstractNumId w:val="21"/>
  </w:num>
  <w:num w:numId="24">
    <w:abstractNumId w:val="13"/>
  </w:num>
  <w:num w:numId="25">
    <w:abstractNumId w:val="2"/>
  </w:num>
  <w:num w:numId="26">
    <w:abstractNumId w:val="28"/>
  </w:num>
  <w:num w:numId="27">
    <w:abstractNumId w:val="0"/>
    <w:lvlOverride w:ilvl="0">
      <w:startOverride w:val="1"/>
    </w:lvlOverride>
  </w:num>
  <w:num w:numId="28">
    <w:abstractNumId w:val="2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0E3418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6808B2"/>
    <w:rsid w:val="00746D26"/>
    <w:rsid w:val="00760A2E"/>
    <w:rsid w:val="00775E2B"/>
    <w:rsid w:val="00777149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9F3B32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62915"/>
    <w:rsid w:val="00D64E05"/>
    <w:rsid w:val="00D67881"/>
    <w:rsid w:val="00DD1CA9"/>
    <w:rsid w:val="00E22990"/>
    <w:rsid w:val="00E24D7D"/>
    <w:rsid w:val="00E4717D"/>
    <w:rsid w:val="00E60375"/>
    <w:rsid w:val="00E8477A"/>
    <w:rsid w:val="00E85712"/>
    <w:rsid w:val="00E95B9E"/>
    <w:rsid w:val="00ED50E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9231-DE80-495A-B952-4E31981E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80</cp:revision>
  <cp:lastPrinted>2022-01-19T06:38:00Z</cp:lastPrinted>
  <dcterms:created xsi:type="dcterms:W3CDTF">2019-03-04T03:54:00Z</dcterms:created>
  <dcterms:modified xsi:type="dcterms:W3CDTF">2023-06-07T09:04:00Z</dcterms:modified>
</cp:coreProperties>
</file>